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after="100" w:line="400" w:lineRule="atLeast"/>
        <w:rPr>
          <w:rFonts w:ascii="仿宋_GB2312" w:eastAsia="仿宋_GB2312"/>
          <w:color w:val="000000"/>
          <w:spacing w:val="16"/>
          <w:kern w:val="0"/>
          <w:sz w:val="32"/>
          <w:szCs w:val="32"/>
        </w:rPr>
      </w:pPr>
    </w:p>
    <w:p>
      <w:pPr>
        <w:keepNext w:val="0"/>
        <w:keepLines w:val="0"/>
        <w:widowControl/>
        <w:suppressLineNumbers w:val="0"/>
        <w:jc w:val="left"/>
        <w:rPr>
          <w:rFonts w:hint="eastAsia" w:ascii="仿宋_GB2312" w:eastAsia="仿宋_GB2312"/>
          <w:color w:val="000000"/>
          <w:spacing w:val="16"/>
          <w:kern w:val="0"/>
          <w:sz w:val="32"/>
          <w:szCs w:val="32"/>
        </w:rPr>
      </w:pPr>
      <w:r>
        <w:rPr>
          <w:rFonts w:hint="eastAsia" w:ascii="仿宋_GB2312" w:eastAsia="仿宋_GB2312"/>
          <w:color w:val="000000"/>
          <w:spacing w:val="16"/>
          <w:kern w:val="0"/>
          <w:sz w:val="32"/>
          <w:szCs w:val="32"/>
        </w:rPr>
        <w:t xml:space="preserve"> </w:t>
      </w:r>
      <w:r>
        <w:rPr>
          <w:rFonts w:hint="eastAsia" w:ascii="Arial Unicode MS" w:hAnsi="Arial Unicode MS" w:eastAsia="Arial Unicode MS" w:cs="Arial Unicode MS"/>
          <w:color w:val="FF0000"/>
          <w:kern w:val="0"/>
          <w:sz w:val="84"/>
          <w:szCs w:val="84"/>
          <w:lang w:val="en-US" w:eastAsia="zh-CN" w:bidi="ar"/>
        </w:rPr>
        <w:t>南通市</w:t>
      </w:r>
      <w:r>
        <w:rPr>
          <w:rFonts w:ascii="Arial Unicode MS" w:hAnsi="Arial Unicode MS" w:eastAsia="Arial Unicode MS" w:cs="Arial Unicode MS"/>
          <w:color w:val="FF0000"/>
          <w:kern w:val="0"/>
          <w:sz w:val="84"/>
          <w:szCs w:val="84"/>
          <w:lang w:val="en-US" w:eastAsia="zh-CN" w:bidi="ar"/>
        </w:rPr>
        <w:t>陶行知研究会</w:t>
      </w:r>
      <w:bookmarkStart w:id="0" w:name="_GoBack"/>
      <w:bookmarkEnd w:id="0"/>
    </w:p>
    <w:p>
      <w:pPr>
        <w:widowControl/>
        <w:spacing w:before="100" w:after="100" w:line="400" w:lineRule="atLeast"/>
        <w:jc w:val="center"/>
        <w:rPr>
          <w:rFonts w:hint="eastAsia"/>
        </w:rPr>
      </w:pPr>
      <w:r>
        <w:rPr>
          <w:rFonts w:hint="eastAsia" w:ascii="仿宋_GB2312" w:eastAsia="仿宋_GB2312"/>
          <w:color w:val="000000"/>
          <w:spacing w:val="16"/>
          <w:kern w:val="0"/>
          <w:sz w:val="32"/>
          <w:szCs w:val="32"/>
        </w:rPr>
        <w:t xml:space="preserve">  通陶研〔2022〕3号</w:t>
      </w:r>
      <w:r>
        <w:rPr>
          <w:rFonts w:hint="eastAsia" w:ascii="宋体" w:hAnsi="宋体"/>
          <w:b/>
          <w:color w:val="000000"/>
          <w:kern w:val="0"/>
          <w:sz w:val="44"/>
          <w:szCs w:val="44"/>
        </w:rPr>
        <w:t xml:space="preserve"> </w:t>
      </w:r>
    </w:p>
    <w:p>
      <w:pPr>
        <w:widowControl/>
        <w:jc w:val="center"/>
        <w:rPr>
          <w:rFonts w:hint="eastAsia"/>
        </w:rPr>
      </w:pPr>
      <w:r>
        <w:rPr>
          <w:rFonts w:hint="eastAsia" w:ascii="宋体" w:hAnsi="宋体"/>
          <w:b/>
          <w:color w:val="000000"/>
          <w:kern w:val="0"/>
          <w:sz w:val="44"/>
          <w:szCs w:val="44"/>
        </w:rPr>
        <w:t xml:space="preserve"> </w:t>
      </w:r>
    </w:p>
    <w:p>
      <w:pPr>
        <w:widowControl/>
        <w:ind w:firstLine="361" w:firstLineChars="100"/>
        <w:rPr>
          <w:sz w:val="36"/>
          <w:szCs w:val="36"/>
        </w:rPr>
      </w:pPr>
      <w:r>
        <w:rPr>
          <w:rFonts w:hint="eastAsia" w:ascii="宋体" w:hAnsi="宋体"/>
          <w:b/>
          <w:color w:val="000000"/>
          <w:kern w:val="0"/>
          <w:sz w:val="36"/>
          <w:szCs w:val="36"/>
        </w:rPr>
        <w:t>关于做好第十四届“行知杯”论文评选工作的通知</w:t>
      </w:r>
    </w:p>
    <w:p>
      <w:pPr>
        <w:widowControl/>
        <w:jc w:val="center"/>
      </w:pPr>
      <w:r>
        <w:rPr>
          <w:rFonts w:hint="eastAsia" w:ascii="宋体" w:hAnsi="宋体"/>
          <w:color w:val="000000"/>
          <w:kern w:val="0"/>
          <w:sz w:val="24"/>
          <w:szCs w:val="24"/>
        </w:rPr>
        <w:t xml:space="preserve"> </w:t>
      </w:r>
    </w:p>
    <w:p>
      <w:pPr>
        <w:widowControl/>
        <w:jc w:val="left"/>
        <w:rPr>
          <w:rFonts w:ascii="仿宋" w:hAnsi="仿宋" w:eastAsia="仿宋"/>
          <w:sz w:val="32"/>
          <w:szCs w:val="32"/>
        </w:rPr>
      </w:pPr>
      <w:r>
        <w:rPr>
          <w:rFonts w:hint="eastAsia" w:ascii="仿宋" w:hAnsi="仿宋" w:eastAsia="仿宋"/>
          <w:color w:val="000000"/>
          <w:kern w:val="0"/>
          <w:sz w:val="32"/>
          <w:szCs w:val="32"/>
        </w:rPr>
        <w:t>各县（市、区）陶研分会、专委会，市直学校教育管理中心，</w:t>
      </w:r>
      <w:r>
        <w:rPr>
          <w:rFonts w:hint="eastAsia" w:ascii="仿宋" w:hAnsi="仿宋" w:eastAsia="仿宋"/>
          <w:color w:val="000000"/>
          <w:kern w:val="0"/>
          <w:sz w:val="31"/>
          <w:szCs w:val="31"/>
        </w:rPr>
        <w:t>省陶研会实验学校、省陶研会会员</w:t>
      </w:r>
      <w:r>
        <w:rPr>
          <w:rFonts w:hint="eastAsia" w:ascii="仿宋" w:hAnsi="仿宋" w:eastAsia="仿宋"/>
          <w:color w:val="000000"/>
          <w:kern w:val="0"/>
          <w:sz w:val="32"/>
          <w:szCs w:val="32"/>
        </w:rPr>
        <w:t>：</w:t>
      </w:r>
    </w:p>
    <w:p>
      <w:pPr>
        <w:widowControl/>
        <w:ind w:firstLine="620" w:firstLineChars="200"/>
        <w:jc w:val="left"/>
        <w:rPr>
          <w:rFonts w:hint="eastAsia" w:ascii="仿宋" w:hAnsi="仿宋" w:eastAsia="仿宋"/>
          <w:color w:val="000000"/>
          <w:kern w:val="0"/>
          <w:sz w:val="31"/>
          <w:szCs w:val="31"/>
        </w:rPr>
      </w:pPr>
      <w:r>
        <w:rPr>
          <w:rFonts w:hint="eastAsia" w:ascii="仿宋" w:hAnsi="仿宋" w:eastAsia="仿宋"/>
          <w:color w:val="000000"/>
          <w:kern w:val="0"/>
          <w:sz w:val="31"/>
          <w:szCs w:val="31"/>
        </w:rPr>
        <w:t>为深入学习贯彻习近平新时代中国特色社会主义思想，学习陶行知教育思想和教育理念，全面落实立德树人根本任务，交流和展示我省教育工作者学陶师陶研陶成果，进一步推进我省群众性学陶师陶研陶工作，提高我省研究和践行陶行知教育思想的水平，促进教师专业成长和学校高质量发展，省陶研会</w:t>
      </w:r>
      <w:r>
        <w:rPr>
          <w:rFonts w:hint="eastAsia" w:ascii="仿宋" w:hAnsi="仿宋" w:eastAsia="仿宋"/>
          <w:color w:val="FF0000"/>
          <w:kern w:val="0"/>
          <w:sz w:val="31"/>
          <w:szCs w:val="31"/>
        </w:rPr>
        <w:t>决定</w:t>
      </w:r>
      <w:r>
        <w:rPr>
          <w:rFonts w:hint="eastAsia" w:ascii="仿宋" w:hAnsi="仿宋" w:eastAsia="仿宋"/>
          <w:color w:val="000000"/>
          <w:kern w:val="0"/>
          <w:sz w:val="31"/>
          <w:szCs w:val="31"/>
        </w:rPr>
        <w:t>在成功举办前十三届“行知杯”优秀论文评选活动的基础上，遵循“面向基层、面向农村、注重规范、突出质量”的原则下，将举办第十四届“行知杯”优秀论文评选活动。</w:t>
      </w:r>
    </w:p>
    <w:p>
      <w:pPr>
        <w:widowControl/>
        <w:ind w:firstLine="620" w:firstLineChars="200"/>
        <w:jc w:val="left"/>
        <w:rPr>
          <w:rFonts w:hint="eastAsia" w:ascii="仿宋" w:hAnsi="仿宋" w:eastAsia="仿宋"/>
          <w:color w:val="auto"/>
          <w:kern w:val="0"/>
          <w:sz w:val="31"/>
          <w:szCs w:val="31"/>
        </w:rPr>
      </w:pPr>
      <w:r>
        <w:rPr>
          <w:rFonts w:hint="eastAsia" w:ascii="仿宋" w:hAnsi="仿宋" w:eastAsia="仿宋"/>
          <w:color w:val="000000"/>
          <w:kern w:val="0"/>
          <w:sz w:val="31"/>
          <w:szCs w:val="31"/>
        </w:rPr>
        <w:t>现将苏陶研〔2022〕3号文《</w:t>
      </w:r>
      <w:r>
        <w:rPr>
          <w:rFonts w:hint="eastAsia" w:ascii="仿宋" w:hAnsi="仿宋" w:eastAsia="仿宋"/>
          <w:color w:val="000000"/>
          <w:kern w:val="0"/>
          <w:sz w:val="32"/>
          <w:szCs w:val="32"/>
        </w:rPr>
        <w:t>关于</w:t>
      </w:r>
      <w:r>
        <w:rPr>
          <w:rFonts w:hint="eastAsia" w:ascii="仿宋" w:hAnsi="仿宋" w:eastAsia="仿宋"/>
          <w:color w:val="000000"/>
          <w:kern w:val="0"/>
          <w:sz w:val="31"/>
          <w:szCs w:val="31"/>
        </w:rPr>
        <w:t>举办第十四届“行知杯”优秀论文评选活动的通知》和附件转发给你们。</w:t>
      </w:r>
      <w:r>
        <w:rPr>
          <w:rFonts w:hint="eastAsia" w:ascii="仿宋" w:hAnsi="仿宋" w:eastAsia="仿宋"/>
          <w:color w:val="auto"/>
          <w:kern w:val="0"/>
          <w:sz w:val="31"/>
          <w:szCs w:val="31"/>
        </w:rPr>
        <w:t>因本届评选办法与往届有较大变化，请务必准确理解省陶研会通知要求，认真执行。现将涉及我市具体操作的有关事项通知如下：</w:t>
      </w:r>
    </w:p>
    <w:p>
      <w:pPr>
        <w:widowControl/>
        <w:ind w:firstLine="620" w:firstLineChars="200"/>
        <w:jc w:val="left"/>
        <w:rPr>
          <w:rFonts w:hint="eastAsia" w:ascii="仿宋" w:hAnsi="仿宋" w:eastAsia="仿宋"/>
          <w:color w:val="000000"/>
          <w:kern w:val="0"/>
          <w:sz w:val="31"/>
          <w:szCs w:val="31"/>
        </w:rPr>
      </w:pPr>
      <w:r>
        <w:rPr>
          <w:rFonts w:hint="eastAsia" w:ascii="仿宋" w:hAnsi="仿宋" w:eastAsia="仿宋"/>
          <w:color w:val="auto"/>
          <w:kern w:val="0"/>
          <w:sz w:val="31"/>
          <w:szCs w:val="31"/>
        </w:rPr>
        <w:t>一、非省陶研会会员或所在学校非省陶研会实验学校的教师如要申报参评优秀论文，个人须在 4月 20 日前办理入会手续，或所在学校于4月20日前办理加入省陶研会实验学校手续。具体入会和加入省陶研会实验学校程</w:t>
      </w:r>
      <w:r>
        <w:rPr>
          <w:rFonts w:hint="eastAsia" w:ascii="仿宋" w:hAnsi="仿宋" w:eastAsia="仿宋"/>
          <w:color w:val="000000"/>
          <w:kern w:val="0"/>
          <w:sz w:val="31"/>
          <w:szCs w:val="31"/>
        </w:rPr>
        <w:t>序、要求详见通陶研〔2022〕2号文（可点击南通陶研网下载）或江苏省陶行知研会网站《关于组织发展江苏省陶行知研究会会员的通知》及</w:t>
      </w:r>
      <w:r>
        <w:rPr>
          <w:rFonts w:hint="eastAsia" w:ascii="仿宋" w:hAnsi="仿宋" w:eastAsia="仿宋"/>
          <w:color w:val="000000"/>
          <w:kern w:val="0"/>
          <w:sz w:val="32"/>
          <w:szCs w:val="32"/>
        </w:rPr>
        <w:t>关于印发《江苏省陶行知研究会实验学校管理办法（试行）》的通知</w:t>
      </w:r>
      <w:r>
        <w:rPr>
          <w:rFonts w:hint="eastAsia" w:ascii="仿宋" w:hAnsi="仿宋" w:eastAsia="仿宋"/>
          <w:color w:val="000000"/>
          <w:kern w:val="0"/>
          <w:sz w:val="31"/>
          <w:szCs w:val="31"/>
        </w:rPr>
        <w:t xml:space="preserve">。 </w:t>
      </w:r>
    </w:p>
    <w:p>
      <w:pPr>
        <w:widowControl/>
        <w:ind w:firstLine="620" w:firstLineChars="200"/>
        <w:jc w:val="left"/>
        <w:rPr>
          <w:rFonts w:hint="eastAsia" w:ascii="仿宋" w:hAnsi="仿宋" w:eastAsia="仿宋"/>
          <w:color w:val="000000"/>
          <w:kern w:val="0"/>
          <w:sz w:val="31"/>
          <w:szCs w:val="31"/>
        </w:rPr>
      </w:pPr>
      <w:r>
        <w:rPr>
          <w:rFonts w:hint="eastAsia" w:ascii="仿宋" w:hAnsi="仿宋" w:eastAsia="仿宋"/>
          <w:color w:val="000000"/>
          <w:kern w:val="0"/>
          <w:sz w:val="31"/>
          <w:szCs w:val="31"/>
        </w:rPr>
        <w:t>二、我市</w:t>
      </w:r>
      <w:r>
        <w:rPr>
          <w:rFonts w:hint="eastAsia" w:ascii="仿宋" w:hAnsi="仿宋" w:eastAsia="仿宋"/>
          <w:color w:val="auto"/>
          <w:kern w:val="0"/>
          <w:sz w:val="31"/>
          <w:szCs w:val="31"/>
        </w:rPr>
        <w:t>参评者须于5月15日前向相关县（市、区）分会、有关专业委员会或市直教育管理中心提交参评论文电子稿和纸质稿1份。没有提交纸质稿和电子稿或不符合报送规范的征文将不予参评。超出规定数量的征文不予参评。新入会会员报送参评论文须附会费汇款凭证复印件，否则不予受理。报送的征文恕不退还，请自留底稿。</w:t>
      </w:r>
      <w:r>
        <w:rPr>
          <w:rFonts w:hint="eastAsia" w:ascii="仿宋" w:hAnsi="仿宋" w:eastAsia="仿宋"/>
          <w:color w:val="000000"/>
          <w:kern w:val="0"/>
          <w:sz w:val="31"/>
          <w:szCs w:val="31"/>
        </w:rPr>
        <w:t xml:space="preserve">纸质稿装订顺序：封面（从南通陶研网或江苏陶研会网下载）+会员证复印件或汇款凭证复印件+查重结果结论页+打印的论文。 </w:t>
      </w:r>
    </w:p>
    <w:p>
      <w:pPr>
        <w:widowControl/>
        <w:ind w:firstLine="640" w:firstLineChars="200"/>
        <w:jc w:val="left"/>
        <w:rPr>
          <w:rFonts w:hint="eastAsia" w:ascii="仿宋" w:hAnsi="仿宋" w:eastAsia="仿宋"/>
          <w:color w:val="000000"/>
          <w:kern w:val="0"/>
          <w:sz w:val="32"/>
          <w:szCs w:val="32"/>
        </w:rPr>
      </w:pPr>
      <w:r>
        <w:rPr>
          <w:rFonts w:hint="eastAsia" w:ascii="仿宋" w:hAnsi="仿宋" w:eastAsia="仿宋"/>
          <w:color w:val="000000"/>
          <w:kern w:val="0"/>
          <w:sz w:val="32"/>
          <w:szCs w:val="32"/>
        </w:rPr>
        <w:t>三、请各县（市、区）分会、专委会和市直学校教育管理中心</w:t>
      </w:r>
      <w:r>
        <w:rPr>
          <w:rFonts w:hint="eastAsia" w:ascii="仿宋" w:hAnsi="仿宋" w:eastAsia="仿宋"/>
          <w:kern w:val="0"/>
          <w:sz w:val="32"/>
          <w:szCs w:val="32"/>
        </w:rPr>
        <w:t>各自将所收参评论文整理、编号（用铅笔在“</w:t>
      </w:r>
      <w:r>
        <w:rPr>
          <w:rFonts w:hint="eastAsia" w:ascii="仿宋" w:hAnsi="仿宋" w:eastAsia="仿宋"/>
          <w:sz w:val="32"/>
          <w:szCs w:val="32"/>
        </w:rPr>
        <w:t>参评论文封面</w:t>
      </w:r>
      <w:r>
        <w:rPr>
          <w:rFonts w:hint="eastAsia" w:ascii="仿宋" w:hAnsi="仿宋" w:eastAsia="仿宋"/>
          <w:kern w:val="0"/>
          <w:sz w:val="32"/>
          <w:szCs w:val="32"/>
        </w:rPr>
        <w:t>”右上角标明），用Excel打印好目录。目录栏目分市编号、省编号、姓名、单位、文章标题、作者手机号、市初评等次、省复评等次共八栏。整理电子目录时请注意：文章题目不要用书名号（如题目中间有书名号，请用单书名号“&lt;&gt;”），还要注意破折号的正确用法（——）,在Excel表格中顶格录入。作者姓名，如果是两人及以上的作者，请作者姓名之间空一格，不要分行。最前两栏市编号、省编号和最后两栏市初评等次、省复评等次不填。目录和参评论文均需提供电子文本，</w:t>
      </w:r>
      <w:r>
        <w:rPr>
          <w:rFonts w:hint="eastAsia" w:ascii="仿宋" w:hAnsi="仿宋" w:eastAsia="仿宋"/>
          <w:color w:val="000000"/>
          <w:kern w:val="0"/>
          <w:sz w:val="32"/>
          <w:szCs w:val="32"/>
        </w:rPr>
        <w:t>然后将参评论文（按序号由小到大排序）、目录统一报送市陶研会秘书处，联系人：蒋菁，手机号：18912294468。</w:t>
      </w:r>
    </w:p>
    <w:p>
      <w:pPr>
        <w:widowControl/>
        <w:ind w:firstLine="620" w:firstLineChars="200"/>
        <w:jc w:val="left"/>
        <w:rPr>
          <w:rFonts w:hint="eastAsia" w:ascii="仿宋" w:hAnsi="仿宋" w:eastAsia="仿宋"/>
          <w:color w:val="000000"/>
          <w:kern w:val="0"/>
          <w:sz w:val="31"/>
          <w:szCs w:val="31"/>
        </w:rPr>
      </w:pPr>
      <w:r>
        <w:rPr>
          <w:rFonts w:hint="eastAsia" w:ascii="仿宋" w:hAnsi="仿宋" w:eastAsia="仿宋"/>
          <w:color w:val="000000"/>
          <w:kern w:val="0"/>
          <w:sz w:val="31"/>
          <w:szCs w:val="31"/>
        </w:rPr>
        <w:t>四、各</w:t>
      </w:r>
      <w:r>
        <w:rPr>
          <w:rFonts w:hint="eastAsia" w:ascii="仿宋" w:hAnsi="仿宋" w:eastAsia="仿宋"/>
          <w:color w:val="000000"/>
          <w:kern w:val="0"/>
          <w:sz w:val="32"/>
          <w:szCs w:val="32"/>
        </w:rPr>
        <w:t>县（市、区）</w:t>
      </w:r>
      <w:r>
        <w:rPr>
          <w:rFonts w:hint="eastAsia" w:ascii="仿宋" w:hAnsi="仿宋" w:eastAsia="仿宋"/>
          <w:color w:val="000000"/>
          <w:kern w:val="0"/>
          <w:sz w:val="31"/>
          <w:szCs w:val="31"/>
        </w:rPr>
        <w:t>分会、专委会</w:t>
      </w:r>
      <w:r>
        <w:rPr>
          <w:rFonts w:hint="eastAsia" w:ascii="仿宋" w:hAnsi="仿宋" w:eastAsia="仿宋"/>
          <w:color w:val="000000"/>
          <w:kern w:val="0"/>
          <w:sz w:val="32"/>
          <w:szCs w:val="32"/>
        </w:rPr>
        <w:t>和市直教育管理中心</w:t>
      </w:r>
      <w:r>
        <w:rPr>
          <w:rFonts w:hint="eastAsia" w:ascii="仿宋" w:hAnsi="仿宋" w:eastAsia="仿宋"/>
          <w:color w:val="000000"/>
          <w:kern w:val="0"/>
          <w:sz w:val="31"/>
          <w:szCs w:val="31"/>
        </w:rPr>
        <w:t xml:space="preserve">联系方式见下表： </w:t>
      </w:r>
    </w:p>
    <w:tbl>
      <w:tblPr>
        <w:tblStyle w:val="4"/>
        <w:tblW w:w="9640" w:type="dxa"/>
        <w:tblInd w:w="-459" w:type="dxa"/>
        <w:tblLayout w:type="autofit"/>
        <w:tblCellMar>
          <w:top w:w="0" w:type="dxa"/>
          <w:left w:w="108" w:type="dxa"/>
          <w:bottom w:w="0" w:type="dxa"/>
          <w:right w:w="108" w:type="dxa"/>
        </w:tblCellMar>
      </w:tblPr>
      <w:tblGrid>
        <w:gridCol w:w="4840"/>
        <w:gridCol w:w="1900"/>
        <w:gridCol w:w="2900"/>
      </w:tblGrid>
      <w:tr>
        <w:tblPrEx>
          <w:tblCellMar>
            <w:top w:w="0" w:type="dxa"/>
            <w:left w:w="108" w:type="dxa"/>
            <w:bottom w:w="0" w:type="dxa"/>
            <w:right w:w="108" w:type="dxa"/>
          </w:tblCellMar>
        </w:tblPrEx>
        <w:trPr>
          <w:trHeight w:val="585" w:hRule="atLeast"/>
        </w:trPr>
        <w:tc>
          <w:tcPr>
            <w:tcW w:w="484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b/>
                <w:bCs/>
                <w:color w:val="000000"/>
                <w:kern w:val="0"/>
                <w:sz w:val="32"/>
                <w:szCs w:val="32"/>
              </w:rPr>
            </w:pPr>
            <w:r>
              <w:rPr>
                <w:rFonts w:hint="eastAsia" w:ascii="宋体" w:hAnsi="宋体"/>
                <w:b/>
                <w:bCs/>
                <w:color w:val="000000"/>
                <w:kern w:val="0"/>
                <w:sz w:val="32"/>
                <w:szCs w:val="32"/>
              </w:rPr>
              <w:t>单位</w:t>
            </w:r>
          </w:p>
        </w:tc>
        <w:tc>
          <w:tcPr>
            <w:tcW w:w="1900"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b/>
                <w:bCs/>
                <w:color w:val="000000"/>
                <w:kern w:val="0"/>
                <w:sz w:val="32"/>
                <w:szCs w:val="32"/>
              </w:rPr>
            </w:pPr>
            <w:r>
              <w:rPr>
                <w:rFonts w:hint="eastAsia" w:ascii="宋体" w:hAnsi="宋体"/>
                <w:b/>
                <w:bCs/>
                <w:color w:val="000000"/>
                <w:kern w:val="0"/>
                <w:sz w:val="32"/>
                <w:szCs w:val="32"/>
              </w:rPr>
              <w:t>姓名</w:t>
            </w:r>
          </w:p>
        </w:tc>
        <w:tc>
          <w:tcPr>
            <w:tcW w:w="2900"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b/>
                <w:bCs/>
                <w:color w:val="000000"/>
                <w:kern w:val="0"/>
                <w:sz w:val="32"/>
                <w:szCs w:val="32"/>
              </w:rPr>
            </w:pPr>
            <w:r>
              <w:rPr>
                <w:rFonts w:hint="eastAsia" w:ascii="宋体" w:hAnsi="宋体"/>
                <w:b/>
                <w:bCs/>
                <w:color w:val="000000"/>
                <w:kern w:val="0"/>
                <w:sz w:val="32"/>
                <w:szCs w:val="32"/>
              </w:rPr>
              <w:t>联系电话</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启东市教育工会</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戴  宏</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13862987087</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海门区教育工会</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陈  健</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13962881023</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通州区教育工会</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丁建枢</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13813630926</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如东县教师发展中心</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臧吉瑜</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13912863006</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如皋市教育工会</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徐伟民</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18921685599</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海安市教师发展中心</w:t>
            </w:r>
          </w:p>
        </w:tc>
        <w:tc>
          <w:tcPr>
            <w:tcW w:w="1900" w:type="dxa"/>
            <w:tcBorders>
              <w:top w:val="nil"/>
              <w:left w:val="nil"/>
              <w:bottom w:val="single" w:color="auto" w:sz="4" w:space="0"/>
              <w:right w:val="single" w:color="auto" w:sz="4" w:space="0"/>
            </w:tcBorders>
            <w:noWrap/>
            <w:vAlign w:val="center"/>
          </w:tcPr>
          <w:p>
            <w:pPr>
              <w:widowControl/>
              <w:rPr>
                <w:rFonts w:ascii="仿宋" w:hAnsi="仿宋" w:eastAsia="仿宋" w:cs="宋体"/>
                <w:kern w:val="0"/>
                <w:sz w:val="28"/>
                <w:szCs w:val="28"/>
              </w:rPr>
            </w:pPr>
            <w:r>
              <w:rPr>
                <w:rFonts w:hint="eastAsia" w:ascii="仿宋" w:hAnsi="仿宋" w:eastAsia="仿宋" w:cs="宋体"/>
                <w:kern w:val="0"/>
                <w:sz w:val="28"/>
                <w:szCs w:val="28"/>
              </w:rPr>
              <w:t xml:space="preserve">   丁生军</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15996598766</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000000"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崇川区教体局办公室</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钱永东</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18806292999</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开发区教师发展中心</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郭其红</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15862763688</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通州湾示范区社管局</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周红兵</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13862822708</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苏锡通园区政社局</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施志平</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13921487385</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中教专委会</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凌永成</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13306294969</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幼教专委会</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朱秀芬</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18962996299</w:t>
            </w:r>
          </w:p>
        </w:tc>
      </w:tr>
      <w:tr>
        <w:tblPrEx>
          <w:tblCellMar>
            <w:top w:w="0" w:type="dxa"/>
            <w:left w:w="108" w:type="dxa"/>
            <w:bottom w:w="0" w:type="dxa"/>
            <w:right w:w="108" w:type="dxa"/>
          </w:tblCellMar>
        </w:tblPrEx>
        <w:trPr>
          <w:trHeight w:val="369" w:hRule="atLeast"/>
        </w:trPr>
        <w:tc>
          <w:tcPr>
            <w:tcW w:w="484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市直学校教育管理中心</w:t>
            </w:r>
          </w:p>
        </w:tc>
        <w:tc>
          <w:tcPr>
            <w:tcW w:w="1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张  蕾</w:t>
            </w:r>
          </w:p>
        </w:tc>
        <w:tc>
          <w:tcPr>
            <w:tcW w:w="290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13862718989</w:t>
            </w:r>
          </w:p>
        </w:tc>
      </w:tr>
    </w:tbl>
    <w:p>
      <w:pPr>
        <w:widowControl/>
        <w:spacing w:before="100" w:after="100" w:line="440" w:lineRule="atLeast"/>
        <w:ind w:firstLine="640" w:firstLineChars="200"/>
        <w:jc w:val="left"/>
        <w:rPr>
          <w:rFonts w:hint="eastAsia" w:ascii="楷体" w:hAnsi="楷体" w:eastAsia="楷体"/>
          <w:kern w:val="0"/>
          <w:sz w:val="32"/>
          <w:szCs w:val="32"/>
        </w:rPr>
      </w:pPr>
      <w:r>
        <w:rPr>
          <w:rFonts w:hint="eastAsia" w:ascii="楷体" w:hAnsi="楷体" w:eastAsia="楷体"/>
          <w:color w:val="000000"/>
          <w:kern w:val="0"/>
          <w:sz w:val="32"/>
          <w:szCs w:val="32"/>
        </w:rPr>
        <w:t>说明：中教专委会负责市直职业学校、师范学校的组织收集，幼教专委会负责崇川区幼儿园的组织收集，</w:t>
      </w:r>
      <w:r>
        <w:rPr>
          <w:rFonts w:hint="eastAsia" w:ascii="楷体" w:hAnsi="楷体" w:eastAsia="楷体"/>
          <w:kern w:val="0"/>
          <w:sz w:val="32"/>
          <w:szCs w:val="32"/>
        </w:rPr>
        <w:t>市直学校教育管理中心负责市直小学、初高中学校的组织收集。</w:t>
      </w:r>
    </w:p>
    <w:p>
      <w:pPr>
        <w:widowControl/>
        <w:spacing w:before="100" w:after="100" w:line="440" w:lineRule="atLeast"/>
        <w:ind w:firstLine="640" w:firstLineChars="200"/>
        <w:jc w:val="left"/>
        <w:rPr>
          <w:rFonts w:hint="eastAsia" w:ascii="仿宋" w:hAnsi="仿宋" w:eastAsia="仿宋"/>
          <w:color w:val="000000"/>
          <w:kern w:val="0"/>
          <w:sz w:val="31"/>
          <w:szCs w:val="31"/>
        </w:rPr>
      </w:pPr>
      <w:r>
        <w:rPr>
          <w:rFonts w:hint="eastAsia" w:ascii="仿宋" w:hAnsi="仿宋" w:eastAsia="仿宋"/>
          <w:color w:val="000000"/>
          <w:kern w:val="0"/>
          <w:sz w:val="32"/>
          <w:szCs w:val="32"/>
        </w:rPr>
        <w:t>请各分会、专委会和市直学校教育管理中心收到此通知后</w:t>
      </w:r>
      <w:r>
        <w:rPr>
          <w:rFonts w:hint="eastAsia" w:ascii="仿宋" w:hAnsi="仿宋" w:eastAsia="仿宋"/>
          <w:kern w:val="0"/>
          <w:sz w:val="32"/>
          <w:szCs w:val="32"/>
        </w:rPr>
        <w:t>及时</w:t>
      </w:r>
      <w:r>
        <w:rPr>
          <w:rFonts w:hint="eastAsia" w:ascii="仿宋" w:hAnsi="仿宋" w:eastAsia="仿宋"/>
          <w:color w:val="000000"/>
          <w:kern w:val="0"/>
          <w:sz w:val="32"/>
          <w:szCs w:val="32"/>
        </w:rPr>
        <w:t>转发至各基层学校、省陶研会会员单位和省陶研会实验学校，</w:t>
      </w:r>
      <w:r>
        <w:rPr>
          <w:rFonts w:hint="eastAsia" w:ascii="仿宋" w:hAnsi="仿宋" w:eastAsia="仿宋"/>
          <w:kern w:val="0"/>
          <w:sz w:val="32"/>
          <w:szCs w:val="32"/>
        </w:rPr>
        <w:t>抓紧</w:t>
      </w:r>
      <w:r>
        <w:rPr>
          <w:rFonts w:hint="eastAsia" w:ascii="仿宋" w:hAnsi="仿宋" w:eastAsia="仿宋"/>
          <w:color w:val="000000"/>
          <w:kern w:val="0"/>
          <w:sz w:val="32"/>
          <w:szCs w:val="32"/>
        </w:rPr>
        <w:t>贯彻落实。</w:t>
      </w:r>
      <w:r>
        <w:rPr>
          <w:rFonts w:hint="eastAsia" w:ascii="仿宋" w:hAnsi="仿宋" w:eastAsia="仿宋"/>
          <w:color w:val="000000"/>
          <w:kern w:val="0"/>
          <w:sz w:val="31"/>
          <w:szCs w:val="31"/>
        </w:rPr>
        <w:t xml:space="preserve">如有疑问，可与省陶研会秘书处吴柱老师联系，联系电话： 025-83313103，13813972366。 </w:t>
      </w:r>
    </w:p>
    <w:p>
      <w:pPr>
        <w:widowControl/>
        <w:ind w:firstLine="620" w:firstLineChars="200"/>
        <w:jc w:val="left"/>
        <w:rPr>
          <w:rFonts w:hint="eastAsia" w:ascii="仿宋" w:hAnsi="仿宋" w:eastAsia="仿宋"/>
          <w:color w:val="000000"/>
          <w:kern w:val="0"/>
          <w:sz w:val="31"/>
          <w:szCs w:val="31"/>
        </w:rPr>
      </w:pPr>
      <w:r>
        <w:rPr>
          <w:rFonts w:hint="eastAsia" w:ascii="仿宋" w:hAnsi="仿宋" w:eastAsia="仿宋"/>
          <w:color w:val="000000"/>
          <w:kern w:val="0"/>
          <w:sz w:val="31"/>
          <w:szCs w:val="31"/>
        </w:rPr>
        <w:t>附件：</w:t>
      </w:r>
    </w:p>
    <w:p>
      <w:pPr>
        <w:widowControl/>
        <w:ind w:firstLine="620" w:firstLineChars="200"/>
        <w:jc w:val="left"/>
        <w:rPr>
          <w:rStyle w:val="6"/>
          <w:rFonts w:hint="eastAsia" w:ascii="仿宋" w:hAnsi="仿宋"/>
          <w:color w:val="333333"/>
          <w:sz w:val="32"/>
          <w:szCs w:val="32"/>
        </w:rPr>
      </w:pPr>
      <w:r>
        <w:rPr>
          <w:rFonts w:hint="eastAsia" w:ascii="仿宋" w:hAnsi="仿宋" w:eastAsia="仿宋"/>
          <w:color w:val="000000"/>
          <w:kern w:val="0"/>
          <w:sz w:val="31"/>
          <w:szCs w:val="31"/>
        </w:rPr>
        <w:t>一、</w:t>
      </w:r>
      <w:r>
        <w:rPr>
          <w:rStyle w:val="6"/>
          <w:rFonts w:hint="eastAsia" w:ascii="仿宋" w:hAnsi="仿宋" w:eastAsia="仿宋"/>
          <w:color w:val="333333"/>
          <w:sz w:val="32"/>
          <w:szCs w:val="32"/>
        </w:rPr>
        <w:t>苏陶研〔2022〕3号文</w:t>
      </w:r>
    </w:p>
    <w:p>
      <w:pPr>
        <w:widowControl/>
        <w:ind w:firstLine="640" w:firstLineChars="200"/>
        <w:jc w:val="left"/>
        <w:rPr>
          <w:rStyle w:val="6"/>
          <w:rFonts w:hint="eastAsia" w:ascii="仿宋" w:hAnsi="仿宋" w:eastAsia="仿宋"/>
          <w:color w:val="333333"/>
          <w:sz w:val="32"/>
          <w:szCs w:val="32"/>
        </w:rPr>
      </w:pPr>
      <w:r>
        <w:rPr>
          <w:rStyle w:val="6"/>
          <w:rFonts w:hint="eastAsia" w:ascii="仿宋" w:hAnsi="仿宋" w:eastAsia="仿宋"/>
          <w:color w:val="333333"/>
          <w:sz w:val="32"/>
          <w:szCs w:val="32"/>
        </w:rPr>
        <w:t>二、 江苏省陶研会第十四届“行知杯”参评论文封面</w:t>
      </w:r>
    </w:p>
    <w:p>
      <w:pPr>
        <w:spacing w:line="600" w:lineRule="exact"/>
        <w:ind w:firstLine="643" w:firstLineChars="200"/>
        <w:rPr>
          <w:rFonts w:hint="eastAsia"/>
          <w:b/>
          <w:bCs/>
        </w:rPr>
      </w:pPr>
      <w:r>
        <w:rPr>
          <w:rFonts w:hint="eastAsia" w:ascii="仿宋" w:hAnsi="仿宋" w:eastAsia="仿宋"/>
          <w:b/>
          <w:bCs/>
          <w:color w:val="000000"/>
          <w:kern w:val="0"/>
          <w:sz w:val="32"/>
          <w:szCs w:val="32"/>
        </w:rPr>
        <w:t xml:space="preserve"> </w:t>
      </w:r>
      <w:r>
        <w:rPr>
          <w:rFonts w:hint="eastAsia" w:ascii="仿宋" w:hAnsi="仿宋" w:eastAsia="仿宋"/>
          <w:b/>
          <w:bCs/>
          <w:sz w:val="32"/>
          <w:szCs w:val="32"/>
        </w:rPr>
        <w:t>（附件请点击南通陶研网下载。）</w:t>
      </w:r>
    </w:p>
    <w:p>
      <w:pPr>
        <w:widowControl/>
        <w:ind w:firstLine="620" w:firstLineChars="200"/>
        <w:jc w:val="left"/>
        <w:rPr>
          <w:rFonts w:hint="eastAsia" w:ascii="仿宋" w:hAnsi="仿宋" w:eastAsia="仿宋"/>
          <w:color w:val="000000"/>
          <w:kern w:val="0"/>
          <w:sz w:val="31"/>
          <w:szCs w:val="31"/>
        </w:rPr>
      </w:pPr>
      <w:r>
        <w:rPr>
          <w:rFonts w:hint="eastAsia" w:ascii="仿宋" w:hAnsi="仿宋" w:eastAsia="仿宋"/>
          <w:color w:val="000000"/>
          <w:kern w:val="0"/>
          <w:sz w:val="31"/>
          <w:szCs w:val="31"/>
        </w:rPr>
        <w:t xml:space="preserve"> </w:t>
      </w:r>
    </w:p>
    <w:p>
      <w:pPr>
        <w:spacing w:line="600" w:lineRule="exact"/>
        <w:ind w:firstLine="3520" w:firstLineChars="1100"/>
        <w:rPr>
          <w:rFonts w:hint="eastAsia" w:ascii="仿宋" w:hAnsi="仿宋" w:eastAsia="仿宋"/>
          <w:sz w:val="32"/>
          <w:szCs w:val="32"/>
        </w:rPr>
      </w:pPr>
      <w:r>
        <w:rPr>
          <w:rFonts w:hint="eastAsia" w:ascii="仿宋" w:hAnsi="仿宋" w:eastAsia="仿宋"/>
          <w:color w:val="000000"/>
          <w:kern w:val="0"/>
          <w:sz w:val="32"/>
          <w:szCs w:val="32"/>
        </w:rPr>
        <w:t xml:space="preserve">   </w:t>
      </w:r>
      <w:r>
        <w:rPr>
          <w:rFonts w:hint="eastAsia" w:ascii="仿宋" w:hAnsi="仿宋" w:eastAsia="仿宋"/>
          <w:sz w:val="32"/>
          <w:szCs w:val="32"/>
        </w:rPr>
        <w:t>南通市陶行知研究会</w:t>
      </w:r>
    </w:p>
    <w:p>
      <w:pPr>
        <w:spacing w:line="600" w:lineRule="exact"/>
        <w:ind w:firstLine="3840" w:firstLineChars="1200"/>
        <w:rPr>
          <w:rFonts w:hint="eastAsia" w:ascii="仿宋" w:hAnsi="仿宋" w:eastAsia="仿宋"/>
          <w:sz w:val="32"/>
          <w:szCs w:val="32"/>
        </w:rPr>
      </w:pPr>
      <w:r>
        <w:rPr>
          <w:rFonts w:hint="eastAsia" w:ascii="仿宋" w:hAnsi="仿宋" w:eastAsia="仿宋"/>
          <w:sz w:val="32"/>
          <w:szCs w:val="32"/>
        </w:rPr>
        <w:t xml:space="preserve">二○二二年三月二日   </w:t>
      </w:r>
    </w:p>
    <w:p>
      <w:pPr>
        <w:spacing w:line="600" w:lineRule="exact"/>
        <w:ind w:firstLine="3520" w:firstLineChars="1100"/>
        <w:rPr>
          <w:rFonts w:hint="eastAsia" w:ascii="仿宋" w:hAnsi="仿宋" w:eastAsia="仿宋"/>
          <w:sz w:val="32"/>
          <w:szCs w:val="32"/>
        </w:rPr>
      </w:pPr>
      <w:r>
        <w:rPr>
          <w:rFonts w:hint="eastAsia" w:ascii="仿宋" w:hAnsi="仿宋" w:eastAsia="仿宋"/>
          <w:sz w:val="32"/>
          <w:szCs w:val="32"/>
        </w:rPr>
        <w:t xml:space="preserve"> </w:t>
      </w:r>
    </w:p>
    <w:p>
      <w:pPr>
        <w:spacing w:line="600" w:lineRule="exact"/>
        <w:ind w:firstLine="3520" w:firstLineChars="1100"/>
        <w:jc w:val="left"/>
        <w:rPr>
          <w:rFonts w:hint="eastAsia" w:ascii="仿宋" w:hAnsi="仿宋" w:eastAsia="仿宋"/>
          <w:sz w:val="32"/>
          <w:szCs w:val="32"/>
        </w:rPr>
      </w:pPr>
      <w:r>
        <w:rPr>
          <w:rFonts w:hint="eastAsia" w:ascii="仿宋" w:hAnsi="仿宋" w:eastAsia="仿宋"/>
          <w:sz w:val="32"/>
          <w:szCs w:val="32"/>
        </w:rPr>
        <w:t xml:space="preserve"> </w:t>
      </w:r>
    </w:p>
    <w:p>
      <w:pPr>
        <w:rPr>
          <w:rFonts w:hint="eastAsia"/>
        </w:rPr>
      </w:pPr>
      <w:r>
        <w:t xml:space="preserve"> </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F53"/>
    <w:rsid w:val="00422F53"/>
    <w:rsid w:val="00610B93"/>
    <w:rsid w:val="00E44653"/>
    <w:rsid w:val="2466543C"/>
    <w:rsid w:val="553F759D"/>
    <w:rsid w:val="692E6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15"/>
    <w:basedOn w:val="5"/>
    <w:qFormat/>
    <w:uiPriority w:val="0"/>
    <w:rPr>
      <w:rFonts w:hint="default" w:ascii="Calibri" w:hAnsi="Calibri" w:cs="Calibri"/>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270</Words>
  <Characters>1545</Characters>
  <Lines>12</Lines>
  <Paragraphs>3</Paragraphs>
  <TotalTime>0</TotalTime>
  <ScaleCrop>false</ScaleCrop>
  <LinksUpToDate>false</LinksUpToDate>
  <CharactersWithSpaces>1812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2022-03-01T09:52:00Z</dcterms:created>
  <dc:creator>PC</dc:creator>
  <cp:lastModifiedBy>35018</cp:lastModifiedBy>
  <dcterms:modified xsi:type="dcterms:W3CDTF">2022-03-02T01:53:19Z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384D82B4866B45119A83E2C7E5B6A556</vt:lpwstr>
  </property>
</Properties>
</file>